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security-tool</w:t>
      </w:r>
      <w:r>
        <w:rPr>
          <w:rStyle w:val="a0"/>
          <w:rFonts w:ascii="Arial" w:hAnsi="Arial"/>
        </w:rPr>
        <w:t xml:space="preserve"> </w:t>
      </w:r>
      <w:r>
        <w:rPr>
          <w:rStyle w:val="a0"/>
          <w:rFonts w:ascii="Arial" w:hAnsi="Arial"/>
        </w:rPr>
        <w:t>2.0</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Huawei Technologies Co., Ltd. 2019.</w:t>
      </w:r>
    </w:p>
    <w:p>
      <w:pPr>
        <w:spacing w:line="420" w:lineRule="exact"/>
      </w:pPr>
      <w:r>
        <w:rPr>
          <w:rStyle w:val="a0"/>
          <w:rFonts w:ascii="Arial" w:hAnsi="Arial"/>
          <w:b/>
        </w:rPr>
        <w:t xml:space="preserve">License: </w:t>
      </w:r>
      <w:r>
        <w:rPr>
          <w:rStyle w:val="a0"/>
          <w:rFonts w:ascii="Arial" w:hAnsi="Arial"/>
        </w:rPr>
        <w:t>Mulan PSL v1</w:t>
      </w:r>
      <w:r>
        <w:rPr>
          <w:rFonts w:ascii="Times New Roman" w:hAnsi="Times New Roman"/>
          <w:sz w:val="21"/>
        </w:rPr>
        <w:br/>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