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perl-Sub-Identify 0.14</w:t>
      </w:r>
    </w:p>
    <w:p>
      <w:pPr/>
      <w:r>
        <w:rPr>
          <w:rStyle w:val="13"/>
          <w:rFonts w:ascii="Arial" w:hAnsi="Arial"/>
          <w:b/>
        </w:rPr>
        <w:t xml:space="preserve">Copyright notice: </w:t>
      </w:r>
    </w:p>
    <w:p>
      <w:pPr/>
      <w:r>
        <w:rPr>
          <w:rStyle w:val="13"/>
          <w:rFonts w:ascii="宋体" w:hAnsi="宋体"/>
          <w:sz w:val="22"/>
        </w:rPr>
        <w:t>Version 1.x, Copyright (C) 1999, Kenneth Albanowski.</w:t>
        <w:br/>
        <w:t>Copyright (c) 2006, 2008 Junio C Hamano</w:t>
        <w:br/>
        <w:t>Version 3.x, Copyright (c) 2004-2013, Marcus Holland-Moritz.</w:t>
        <w:br/>
        <w:t>Version 2.x, Copyright (C) 2001, Paul Marquess.</w:t>
        <w:br/>
        <w:t>(c) Rafael Garcia-Suarez (rgs at consttype dot org) 2005, 2008, 2012, 2014, 2015</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