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perl-ExtUtils-CBuilder 0.280236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GPL-1.0-or-later or Artistic-1.0</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Standard License Header</w:t>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