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bcache</w:t>
      </w:r>
      <w:r>
        <w:rPr>
          <w:rStyle w:val="a0"/>
          <w:rFonts w:ascii="微软雅黑" w:hAnsi="微软雅黑"/>
          <w:b w:val="0"/>
          <w:sz w:val="21"/>
        </w:rPr>
        <w:t>-tools 1.1</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r>
    </w:p>
    <w:p>
      <w:pPr/>
      <w:r>
        <w:rPr>
          <w:rStyle w:val="a0"/>
          <w:b/>
        </w:rPr>
        <w:t xml:space="preserve">License: </w:t>
      </w:r>
      <w:r>
        <w:rPr>
          <w:rStyle w:val="a0"/>
          <w:sz w:val="21"/>
        </w:rPr>
        <w:t>GPL-2.0</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w:t>
      </w:r>
      <w:r>
        <w:rPr>
          <w:rStyle w:val="a0"/>
          <w:rFonts w:ascii="宋体" w:hAnsi="宋体"/>
          <w:sz w:val="22"/>
        </w:rPr>
        <w:t>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 xml:space="preserve">0. This License applies to any program or other work which contains a notice placed by the copyright holder saying it may be distributed under the terms of this General Public </w:t>
      </w:r>
      <w:r>
        <w:rPr>
          <w:rStyle w:val="a0"/>
          <w:rFonts w:ascii="宋体" w:hAnsi="宋体"/>
          <w:sz w:val="22"/>
        </w:rPr>
        <w:t>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w:t>
      </w:r>
      <w:r>
        <w:rPr>
          <w:rStyle w:val="a0"/>
          <w:rFonts w:ascii="宋体" w:hAnsi="宋体"/>
          <w:sz w:val="22"/>
        </w:rPr>
        <w:t>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w:t>
      </w:r>
      <w:r>
        <w:rPr>
          <w:rStyle w:val="a0"/>
          <w:rFonts w:ascii="宋体" w:hAnsi="宋体"/>
          <w:sz w:val="22"/>
        </w:rPr>
        <w:t>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 xml:space="preserve">8. If the distribution and/or use of the Program is restricted in certain countries </w:t>
      </w:r>
      <w:r>
        <w:rPr>
          <w:rStyle w:val="a0"/>
          <w:rFonts w:ascii="宋体" w:hAnsi="宋体"/>
          <w:sz w:val="22"/>
        </w:rPr>
        <w:t>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 </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