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paktype-naqsh-font</w:t>
      </w:r>
      <w:r>
        <w:rPr>
          <w:rStyle w:val="a0"/>
          <w:rFonts w:ascii="Arial" w:hAnsi="Arial"/>
          <w:b w:val="0"/>
          <w:sz w:val="21"/>
        </w:rPr>
        <w:t>s</w:t>
      </w:r>
      <w:r>
        <w:rPr>
          <w:rStyle w:val="a0"/>
          <w:rFonts w:ascii="Arial" w:hAnsi="Arial"/>
          <w:b w:val="0"/>
          <w:sz w:val="21"/>
        </w:rPr>
        <w:t xml:space="preserve"> </w:t>
      </w:r>
      <w:r>
        <w:rPr>
          <w:rStyle w:val="a0"/>
          <w:rFonts w:ascii="Arial" w:hAnsi="Arial"/>
          <w:b w:val="0"/>
          <w:sz w:val="21"/>
        </w:rPr>
        <w:t>4.1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URW Design and Development holds the copyright of the included Latin font which is donated under GPL by URW.</w:t>
      </w:r>
    </w:p>
    <w:p>
      <w:pPr>
        <w:spacing w:line="420" w:lineRule="exact"/>
      </w:pPr>
      <w:r>
        <w:rPr>
          <w:rStyle w:val="a0"/>
          <w:rFonts w:ascii="Arial" w:hAnsi="Arial"/>
          <w:sz w:val="20"/>
        </w:rPr>
        <w:t>KACST holds the copyright of the included Arabic font which is donated under GPL by KACST.</w:t>
      </w:r>
    </w:p>
    <w:p>
      <w:pPr>
        <w:spacing w:line="420" w:lineRule="exact"/>
      </w:pPr>
      <w:r>
        <w:rPr>
          <w:rStyle w:val="a0"/>
          <w:rFonts w:ascii="Arial" w:hAnsi="Arial"/>
          <w:sz w:val="20"/>
        </w:rPr>
        <w:t>Copyright Arkandis Digital Foundry, under GNU General Public Licence V2 and later, with font exception.</w:t>
      </w:r>
    </w:p>
    <w:p>
      <w:pPr>
        <w:spacing w:line="420" w:lineRule="exact"/>
      </w:pPr>
      <w:r>
        <w:rPr>
          <w:rStyle w:val="a0"/>
          <w:rFonts w:ascii="Arial" w:hAnsi="Arial"/>
          <w:sz w:val="20"/>
        </w:rPr>
        <w:t>Copyright (c) Pakistani Typography.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