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python-publicsuffix2 2.2019.12.21</w:t>
      </w:r>
    </w:p>
    <w:p>
      <w:pPr/>
      <w:r>
        <w:rPr>
          <w:rStyle w:val="13"/>
          <w:rFonts w:ascii="Arial" w:hAnsi="Arial"/>
          <w:b/>
        </w:rPr>
        <w:t xml:space="preserve">Copyright notice: </w:t>
      </w:r>
    </w:p>
    <w:p>
      <w:pPr/>
      <w:r>
        <w:rPr>
          <w:rStyle w:val="13"/>
          <w:rFonts w:ascii="宋体" w:hAnsi="宋体"/>
          <w:sz w:val="22"/>
        </w:rPr>
        <w:t>Copyright (c) 2015 nexB Inc.</w:t>
        <w:br/>
        <w:t>Copyright (c) 2014 Tomaž Šolc &lt;tomaz.solc@tablix.org&gt;</w:t>
        <w:br/>
        <w:t>Copyright (c) 2009 David Wilson</w:t>
        <w:br/>
        <w:t>Copyright (c) 2015 nexB Inc. and others.</w:t>
        <w:br/>
        <w:t>Copyright (c) 2019 nexB Inc. and Renée Burton</w:t>
        <w:br/>
        <w:t>Copyright (c) nexB Inc. and others.</w:t>
        <w:br/>
      </w:r>
    </w:p>
    <w:p>
      <w:pPr/>
      <w:r>
        <w:rPr>
          <w:rStyle w:val="13"/>
          <w:rFonts w:ascii="Arial" w:hAnsi="Arial"/>
          <w:b/>
          <w:sz w:val="24"/>
        </w:rPr>
        <w:t xml:space="preserve">License: </w:t>
      </w:r>
      <w:r>
        <w:rPr>
          <w:rStyle w:val="13"/>
          <w:rFonts w:ascii="Arial" w:hAnsi="Arial"/>
          <w:sz w:val="21"/>
        </w:rPr>
        <w:t>MIT and MPL-2.0</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