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euler-copilot-rag 0.9.6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Huawei Technologies Co., Ltd. 2023-20245. All rights reserved.</w:t>
        <w:br/>
        <w:t>Copyright (c) Huawei Technologies Co., Ltd. 2023-2025. All rights reserved.</w:t>
        <w:br/>
        <w:t>Copyright (c) Huawei Technologies Co., Ltd. 2023-2024. All rights reserved.</w:t>
        <w:br/>
      </w:r>
    </w:p>
    <w:p>
      <w:pPr>
        <w:spacing w:line="420" w:lineRule="exact"/>
        <w:rPr>
          <w:rFonts w:hint="eastAsia"/>
        </w:rPr>
      </w:pPr>
      <w:r>
        <w:rPr>
          <w:rFonts w:ascii="Arial" w:hAnsi="Arial"/>
          <w:b/>
          <w:sz w:val="24"/>
        </w:rPr>
        <w:t xml:space="preserve">License: </w:t>
      </w:r>
      <w:r>
        <w:rPr>
          <w:rFonts w:ascii="Arial" w:hAnsi="Arial"/>
          <w:sz w:val="21"/>
        </w:rPr>
        <w:t>MulanPSL-2.0</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