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perl-DateTime-Calendar-Julian 0.107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675 Mass Ave, Cambridge, MA 02139,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(3)UW4f8mfnYYbCJ3jaxZ4tCI4pP+0gOggIFysQTX0UEUPuGreA5FzcSfkPw/zGVWF4vfRDZmxG
4H/WalviFF36NM986lGhExerLQ4A59OmchvTJj2H/PuDQzEQ34evyCy2M6ACs+S2pYIWOYX3
O02YE1QAMjKAq8vieydBIOe9InJJntj3J+FYHcvtfZW/TQao1PL00YO06aPLzquT1rySYGxC
9S0Amk9xmm1EPud6aQ</vt:lpwstr>
  </property>
  <property fmtid="{D5CDD505-2E9C-101B-9397-08002B2CF9AE}" pid="11" name="_2015_ms_pID_7253431">
    <vt:lpwstr>6Gmca15L4h0pMR8wChuTXcSoTJc4Dr/XtLb53iiXIxQ6Ue48l4ykVx
z7Q/cPK57xRTQw7oeB4bEQH8CiT5QZYt/vP/euN0bKDN42JfPzM5+/D3s3KIJKfnHr9TJVC2
XJWqxFL3pOf/FonZEofn2x6f+iaSSy94RDb3eix078iJuAu3U2Muwjc5B4gl96ZGmASeoOI+
k+lDpFgsFy/poMF0HfSGoB0s1uFEmKvkaG0r</vt:lpwstr>
  </property>
  <property fmtid="{D5CDD505-2E9C-101B-9397-08002B2CF9AE}" pid="12" name="_2015_ms_pID_7253432">
    <vt:lpwstr>gH3jGTz0kKK0eW5cJ1p5XvTXNhcQSuMJT/d6
L4RSNqW7dFEs3UkopR/0/FI2bGl08+DdgbRrq52hAEXS794fHSA=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